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9029"/>
      </w:tblGrid>
      <w:tr w:rsidR="001C0C10">
        <w:trPr>
          <w:jc w:val="center"/>
        </w:trPr>
        <w:tc>
          <w:tcPr>
            <w:tcW w:w="9029" w:type="dxa"/>
            <w:shd w:val="clear" w:color="auto" w:fill="F4F6F5"/>
            <w:tcMar>
              <w:top w:w="200" w:type="dxa"/>
              <w:left w:w="250" w:type="dxa"/>
              <w:bottom w:w="200" w:type="dxa"/>
              <w:right w:w="250" w:type="dxa"/>
            </w:tcMar>
          </w:tcPr>
          <w:p w:rsidR="001C0C10" w:rsidRDefault="00DF59D6">
            <w:pPr>
              <w:jc w:val="center"/>
            </w:pPr>
            <w:r>
              <w:rPr>
                <w:rFonts w:ascii="Times New Roman" w:hAnsi="Times New Roman"/>
                <w:b/>
                <w:color w:val="1B4332"/>
                <w:sz w:val="26"/>
              </w:rPr>
              <w:t>INTERNATIONAL JOURNAL OF TAFSIR AND QUR'ANIC STUDIES</w:t>
            </w:r>
          </w:p>
          <w:p w:rsidR="001C0C10" w:rsidRDefault="00DF59D6">
            <w:pPr>
              <w:jc w:val="center"/>
            </w:pPr>
            <w:r>
              <w:rPr>
                <w:rFonts w:ascii="Times New Roman" w:hAnsi="Times New Roman"/>
                <w:i/>
                <w:color w:val="646464"/>
                <w:sz w:val="18"/>
              </w:rPr>
              <w:t>https://journal.iritaq.info/index.php/ijtqs/en</w:t>
            </w:r>
            <w:r>
              <w:rPr>
                <w:rFonts w:ascii="Times New Roman" w:hAnsi="Times New Roman"/>
                <w:i/>
                <w:color w:val="646464"/>
                <w:sz w:val="18"/>
              </w:rPr>
              <w:br/>
              <w:t>Vol. x No. x, Month 20xx, pp. xx-xx</w:t>
            </w:r>
          </w:p>
        </w:tc>
      </w:tr>
    </w:tbl>
    <w:p w:rsidR="001C0C10" w:rsidRDefault="001C0C10">
      <w:pPr>
        <w:spacing w:before="240" w:after="0"/>
      </w:pPr>
    </w:p>
    <w:p w:rsidR="001C0C10" w:rsidRDefault="00DF59D6">
      <w:pPr>
        <w:spacing w:before="240" w:after="160"/>
        <w:jc w:val="center"/>
      </w:pPr>
      <w:r>
        <w:rPr>
          <w:rFonts w:ascii="Times New Roman" w:hAnsi="Times New Roman"/>
          <w:b/>
          <w:color w:val="1B4332"/>
          <w:sz w:val="32"/>
        </w:rPr>
        <w:t xml:space="preserve">[Article Title in English: Concise, Informative, and Fully </w:t>
      </w:r>
      <w:bookmarkStart w:id="0" w:name="_GoBack"/>
      <w:bookmarkEnd w:id="0"/>
      <w:r>
        <w:rPr>
          <w:rFonts w:ascii="Times New Roman" w:hAnsi="Times New Roman"/>
          <w:b/>
          <w:color w:val="1B4332"/>
          <w:sz w:val="32"/>
        </w:rPr>
        <w:t>Capitalized] / [</w:t>
      </w:r>
      <w:r>
        <w:rPr>
          <w:rFonts w:ascii="Times New Roman" w:hAnsi="Times New Roman" w:cs="Times New Roman"/>
          <w:b/>
          <w:bCs/>
          <w:color w:val="1B4332"/>
          <w:sz w:val="32"/>
          <w:szCs w:val="32"/>
          <w:rtl/>
        </w:rPr>
        <w:t>عنوان</w:t>
      </w:r>
      <w:r>
        <w:rPr>
          <w:rFonts w:ascii="Times New Roman" w:hAnsi="Times New Roman"/>
          <w:b/>
          <w:color w:val="1B4332"/>
          <w:sz w:val="32"/>
        </w:rPr>
        <w:t xml:space="preserve"> </w:t>
      </w:r>
      <w:r>
        <w:rPr>
          <w:rFonts w:ascii="Times New Roman" w:hAnsi="Times New Roman" w:cs="Times New Roman"/>
          <w:b/>
          <w:bCs/>
          <w:color w:val="1B4332"/>
          <w:sz w:val="32"/>
          <w:szCs w:val="32"/>
          <w:rtl/>
        </w:rPr>
        <w:t>المقالة</w:t>
      </w:r>
      <w:r>
        <w:rPr>
          <w:rFonts w:ascii="Times New Roman" w:hAnsi="Times New Roman"/>
          <w:b/>
          <w:color w:val="1B4332"/>
          <w:sz w:val="32"/>
        </w:rPr>
        <w:t xml:space="preserve"> </w:t>
      </w:r>
      <w:r>
        <w:rPr>
          <w:rFonts w:ascii="Times New Roman" w:hAnsi="Times New Roman" w:cs="Times New Roman"/>
          <w:b/>
          <w:bCs/>
          <w:color w:val="1B4332"/>
          <w:sz w:val="32"/>
          <w:szCs w:val="32"/>
          <w:rtl/>
        </w:rPr>
        <w:t>باللغة</w:t>
      </w:r>
      <w:r>
        <w:rPr>
          <w:rFonts w:ascii="Times New Roman" w:hAnsi="Times New Roman"/>
          <w:b/>
          <w:color w:val="1B4332"/>
          <w:sz w:val="32"/>
        </w:rPr>
        <w:t xml:space="preserve"> </w:t>
      </w:r>
      <w:r>
        <w:rPr>
          <w:rFonts w:ascii="Times New Roman" w:hAnsi="Times New Roman" w:cs="Times New Roman"/>
          <w:b/>
          <w:bCs/>
          <w:color w:val="1B4332"/>
          <w:sz w:val="32"/>
          <w:szCs w:val="32"/>
          <w:rtl/>
        </w:rPr>
        <w:t>العربية</w:t>
      </w:r>
      <w:r>
        <w:rPr>
          <w:rFonts w:ascii="Times New Roman" w:hAnsi="Times New Roman"/>
          <w:b/>
          <w:color w:val="1B4332"/>
          <w:sz w:val="32"/>
        </w:rPr>
        <w:t>]</w:t>
      </w:r>
    </w:p>
    <w:p w:rsidR="001C0C10" w:rsidRDefault="00DF59D6">
      <w:pPr>
        <w:spacing w:after="40"/>
        <w:jc w:val="center"/>
      </w:pPr>
      <w:r>
        <w:rPr>
          <w:rFonts w:ascii="Times New Roman" w:hAnsi="Times New Roman"/>
          <w:b/>
          <w:color w:val="282828"/>
        </w:rPr>
        <w:t>First Author</w:t>
      </w:r>
      <w:r>
        <w:rPr>
          <w:rFonts w:ascii="Times New Roman" w:hAnsi="Times New Roman"/>
          <w:b/>
          <w:color w:val="282828"/>
        </w:rPr>
        <w:t xml:space="preserve"> Name1*, Second Author Name2, and Third Author Name3</w:t>
      </w:r>
    </w:p>
    <w:p w:rsidR="001C0C10" w:rsidRDefault="00DF59D6">
      <w:pPr>
        <w:spacing w:after="360"/>
        <w:jc w:val="center"/>
        <w:rPr>
          <w:rFonts w:ascii="Times New Roman" w:hAnsi="Times New Roman"/>
          <w:i/>
          <w:color w:val="646464"/>
          <w:sz w:val="18"/>
        </w:rPr>
      </w:pPr>
      <w:r>
        <w:rPr>
          <w:rFonts w:ascii="Times New Roman" w:hAnsi="Times New Roman"/>
          <w:i/>
          <w:color w:val="646464"/>
          <w:sz w:val="18"/>
        </w:rPr>
        <w:t>1 Department of Quranic Studies, International Research Institute for Tafsir al-Quran</w:t>
      </w:r>
      <w:r>
        <w:rPr>
          <w:rFonts w:ascii="Times New Roman" w:hAnsi="Times New Roman"/>
          <w:i/>
          <w:color w:val="646464"/>
          <w:sz w:val="18"/>
        </w:rPr>
        <w:br/>
        <w:t>2 Department of Theology and Islamic Studies, Institution Name</w:t>
      </w:r>
      <w:r>
        <w:rPr>
          <w:rFonts w:ascii="Times New Roman" w:hAnsi="Times New Roman"/>
          <w:i/>
          <w:color w:val="646464"/>
          <w:sz w:val="18"/>
        </w:rPr>
        <w:br/>
        <w:t>* Corresponding Author Email: author@iritaq.info | ORC</w:t>
      </w:r>
      <w:r>
        <w:rPr>
          <w:rFonts w:ascii="Times New Roman" w:hAnsi="Times New Roman"/>
          <w:i/>
          <w:color w:val="646464"/>
          <w:sz w:val="18"/>
        </w:rPr>
        <w:t>ID: 0000-0000-0000-0000</w:t>
      </w:r>
    </w:p>
    <w:p w:rsidR="00CF50FB" w:rsidRPr="00CF50FB" w:rsidRDefault="00CF50FB" w:rsidP="00CF50FB">
      <w:pPr>
        <w:spacing w:after="0" w:line="240" w:lineRule="auto"/>
        <w:rPr>
          <w:rFonts w:ascii="Times New Roman" w:eastAsia="Times New Roman" w:hAnsi="Times New Roman" w:cs="Times New Roman"/>
          <w:lang w:val="id-ID"/>
        </w:rPr>
      </w:pPr>
    </w:p>
    <w:tbl>
      <w:tblPr>
        <w:tblW w:w="9060" w:type="dxa"/>
        <w:tblBorders>
          <w:top w:val="nil"/>
          <w:left w:val="nil"/>
          <w:bottom w:val="nil"/>
          <w:right w:val="nil"/>
          <w:insideH w:val="nil"/>
          <w:insideV w:val="nil"/>
        </w:tblBorders>
        <w:tblLayout w:type="fixed"/>
        <w:tblLook w:val="0600" w:firstRow="0" w:lastRow="0" w:firstColumn="0" w:lastColumn="0" w:noHBand="1" w:noVBand="1"/>
      </w:tblPr>
      <w:tblGrid>
        <w:gridCol w:w="2268"/>
        <w:gridCol w:w="2254"/>
        <w:gridCol w:w="2269"/>
        <w:gridCol w:w="2269"/>
      </w:tblGrid>
      <w:tr w:rsidR="00CF50FB" w:rsidRPr="00CF50FB" w:rsidTr="00DE2C55">
        <w:trPr>
          <w:trHeight w:val="240"/>
        </w:trPr>
        <w:tc>
          <w:tcPr>
            <w:tcW w:w="2268" w:type="dxa"/>
            <w:tcBorders>
              <w:top w:val="single" w:sz="5" w:space="0" w:color="000000"/>
              <w:left w:val="nil"/>
              <w:bottom w:val="single" w:sz="5" w:space="0" w:color="000000"/>
              <w:right w:val="nil"/>
            </w:tcBorders>
            <w:tcMar>
              <w:top w:w="0" w:type="dxa"/>
              <w:left w:w="100" w:type="dxa"/>
              <w:bottom w:w="0" w:type="dxa"/>
              <w:right w:w="100" w:type="dxa"/>
            </w:tcMar>
          </w:tcPr>
          <w:p w:rsidR="00CF50FB" w:rsidRPr="00CF50FB" w:rsidRDefault="00CF50FB" w:rsidP="00CF50FB">
            <w:pPr>
              <w:spacing w:after="0" w:line="240" w:lineRule="auto"/>
              <w:jc w:val="center"/>
              <w:rPr>
                <w:rFonts w:ascii="Times New Roman" w:eastAsia="Times New Roman" w:hAnsi="Times New Roman" w:cs="Times New Roman"/>
                <w:sz w:val="20"/>
                <w:szCs w:val="20"/>
                <w:lang w:val="id-ID"/>
              </w:rPr>
            </w:pPr>
            <w:r w:rsidRPr="00CF50FB">
              <w:rPr>
                <w:rFonts w:ascii="Times New Roman" w:eastAsia="Times New Roman" w:hAnsi="Times New Roman" w:cs="Times New Roman"/>
                <w:sz w:val="20"/>
                <w:szCs w:val="20"/>
                <w:lang w:val="id-ID"/>
              </w:rPr>
              <w:t>Received:</w:t>
            </w:r>
          </w:p>
        </w:tc>
        <w:tc>
          <w:tcPr>
            <w:tcW w:w="2254" w:type="dxa"/>
            <w:tcBorders>
              <w:top w:val="single" w:sz="5" w:space="0" w:color="000000"/>
              <w:left w:val="nil"/>
              <w:bottom w:val="single" w:sz="5" w:space="0" w:color="000000"/>
              <w:right w:val="nil"/>
            </w:tcBorders>
            <w:tcMar>
              <w:top w:w="0" w:type="dxa"/>
              <w:left w:w="100" w:type="dxa"/>
              <w:bottom w:w="0" w:type="dxa"/>
              <w:right w:w="100" w:type="dxa"/>
            </w:tcMar>
          </w:tcPr>
          <w:p w:rsidR="00CF50FB" w:rsidRPr="00CF50FB" w:rsidRDefault="00CF50FB" w:rsidP="00CF50FB">
            <w:pPr>
              <w:spacing w:after="0" w:line="240" w:lineRule="auto"/>
              <w:jc w:val="center"/>
              <w:rPr>
                <w:rFonts w:ascii="Times New Roman" w:eastAsia="Times New Roman" w:hAnsi="Times New Roman" w:cs="Times New Roman"/>
                <w:sz w:val="20"/>
                <w:szCs w:val="20"/>
                <w:lang w:val="id-ID"/>
              </w:rPr>
            </w:pPr>
            <w:r w:rsidRPr="00CF50FB">
              <w:rPr>
                <w:rFonts w:ascii="Times New Roman" w:eastAsia="Times New Roman" w:hAnsi="Times New Roman" w:cs="Times New Roman"/>
                <w:sz w:val="20"/>
                <w:szCs w:val="20"/>
                <w:lang w:val="id-ID"/>
              </w:rPr>
              <w:t>Revised:</w:t>
            </w:r>
          </w:p>
        </w:tc>
        <w:tc>
          <w:tcPr>
            <w:tcW w:w="2268" w:type="dxa"/>
            <w:tcBorders>
              <w:top w:val="single" w:sz="5" w:space="0" w:color="000000"/>
              <w:left w:val="nil"/>
              <w:bottom w:val="single" w:sz="5" w:space="0" w:color="000000"/>
              <w:right w:val="nil"/>
            </w:tcBorders>
            <w:tcMar>
              <w:top w:w="0" w:type="dxa"/>
              <w:left w:w="100" w:type="dxa"/>
              <w:bottom w:w="0" w:type="dxa"/>
              <w:right w:w="100" w:type="dxa"/>
            </w:tcMar>
          </w:tcPr>
          <w:p w:rsidR="00CF50FB" w:rsidRPr="00CF50FB" w:rsidRDefault="00CF50FB" w:rsidP="00CF50FB">
            <w:pPr>
              <w:spacing w:after="0" w:line="240" w:lineRule="auto"/>
              <w:jc w:val="center"/>
              <w:rPr>
                <w:rFonts w:ascii="Times New Roman" w:eastAsia="Times New Roman" w:hAnsi="Times New Roman" w:cs="Times New Roman"/>
                <w:sz w:val="20"/>
                <w:szCs w:val="20"/>
                <w:lang w:val="id-ID"/>
              </w:rPr>
            </w:pPr>
            <w:r w:rsidRPr="00CF50FB">
              <w:rPr>
                <w:rFonts w:ascii="Times New Roman" w:eastAsia="Times New Roman" w:hAnsi="Times New Roman" w:cs="Times New Roman"/>
                <w:sz w:val="20"/>
                <w:szCs w:val="20"/>
                <w:lang w:val="id-ID"/>
              </w:rPr>
              <w:t>Accepted:</w:t>
            </w:r>
          </w:p>
        </w:tc>
        <w:tc>
          <w:tcPr>
            <w:tcW w:w="2268" w:type="dxa"/>
            <w:tcBorders>
              <w:top w:val="single" w:sz="5" w:space="0" w:color="000000"/>
              <w:left w:val="nil"/>
              <w:bottom w:val="single" w:sz="5" w:space="0" w:color="000000"/>
              <w:right w:val="nil"/>
            </w:tcBorders>
            <w:tcMar>
              <w:top w:w="0" w:type="dxa"/>
              <w:left w:w="100" w:type="dxa"/>
              <w:bottom w:w="0" w:type="dxa"/>
              <w:right w:w="100" w:type="dxa"/>
            </w:tcMar>
          </w:tcPr>
          <w:p w:rsidR="00CF50FB" w:rsidRPr="00CF50FB" w:rsidRDefault="00CF50FB" w:rsidP="00CF50FB">
            <w:pPr>
              <w:spacing w:after="0" w:line="240" w:lineRule="auto"/>
              <w:jc w:val="center"/>
              <w:rPr>
                <w:rFonts w:ascii="Times New Roman" w:eastAsia="Times New Roman" w:hAnsi="Times New Roman" w:cs="Times New Roman"/>
                <w:sz w:val="20"/>
                <w:szCs w:val="20"/>
                <w:lang w:val="id-ID"/>
              </w:rPr>
            </w:pPr>
            <w:r w:rsidRPr="00CF50FB">
              <w:rPr>
                <w:rFonts w:ascii="Times New Roman" w:eastAsia="Times New Roman" w:hAnsi="Times New Roman" w:cs="Times New Roman"/>
                <w:sz w:val="20"/>
                <w:szCs w:val="20"/>
                <w:lang w:val="id-ID"/>
              </w:rPr>
              <w:t>Published:</w:t>
            </w:r>
          </w:p>
        </w:tc>
      </w:tr>
    </w:tbl>
    <w:p w:rsidR="00CF50FB" w:rsidRPr="00CF50FB" w:rsidRDefault="00CF50FB" w:rsidP="00CF50FB">
      <w:pPr>
        <w:spacing w:after="0" w:line="240" w:lineRule="auto"/>
        <w:rPr>
          <w:rFonts w:ascii="Times New Roman" w:eastAsia="Times New Roman" w:hAnsi="Times New Roman" w:cs="Times New Roman"/>
          <w:lang w:val="id-ID"/>
        </w:rPr>
      </w:pPr>
      <w:r w:rsidRPr="00CF50FB">
        <w:rPr>
          <w:rFonts w:ascii="Times New Roman" w:eastAsia="Times New Roman" w:hAnsi="Times New Roman" w:cs="Times New Roman"/>
          <w:lang w:val="id-ID"/>
        </w:rPr>
        <w:t>*) Corresponding Author</w:t>
      </w:r>
    </w:p>
    <w:p w:rsidR="00CF50FB" w:rsidRPr="00CF50FB" w:rsidRDefault="00CF50FB" w:rsidP="00CF50FB">
      <w:pPr>
        <w:spacing w:after="0" w:line="240" w:lineRule="auto"/>
        <w:rPr>
          <w:rFonts w:ascii="Times New Roman" w:eastAsia="Times New Roman" w:hAnsi="Times New Roman" w:cs="Times New Roman"/>
          <w:lang w:val="id-ID"/>
        </w:rPr>
      </w:pPr>
      <w:r w:rsidRPr="00CF50FB">
        <w:rPr>
          <w:rFonts w:ascii="Times New Roman" w:eastAsia="Times New Roman" w:hAnsi="Times New Roman" w:cs="Times New Roman"/>
          <w:lang w:val="id-ID"/>
        </w:rPr>
        <w:t xml:space="preserve">Copyright ©2026 Authors </w:t>
      </w:r>
    </w:p>
    <w:p w:rsidR="00CF50FB" w:rsidRDefault="00CF50FB">
      <w:pPr>
        <w:spacing w:after="360"/>
        <w:jc w:val="center"/>
      </w:pPr>
    </w:p>
    <w:tbl>
      <w:tblPr>
        <w:tblW w:w="0" w:type="auto"/>
        <w:jc w:val="center"/>
        <w:tblLook w:val="04A0" w:firstRow="1" w:lastRow="0" w:firstColumn="1" w:lastColumn="0" w:noHBand="0" w:noVBand="1"/>
      </w:tblPr>
      <w:tblGrid>
        <w:gridCol w:w="9029"/>
      </w:tblGrid>
      <w:tr w:rsidR="001C0C10">
        <w:trPr>
          <w:jc w:val="center"/>
        </w:trPr>
        <w:tc>
          <w:tcPr>
            <w:tcW w:w="9029" w:type="dxa"/>
            <w:tcBorders>
              <w:top w:val="single" w:sz="12" w:space="0" w:color="1B4332"/>
              <w:bottom w:val="single" w:sz="12" w:space="0" w:color="1B4332"/>
            </w:tcBorders>
            <w:shd w:val="clear" w:color="auto" w:fill="FAFAFA"/>
          </w:tcPr>
          <w:p w:rsidR="001C0C10" w:rsidRDefault="00DF59D6">
            <w:pPr>
              <w:spacing w:before="120" w:after="120"/>
              <w:ind w:left="144" w:right="144"/>
              <w:jc w:val="both"/>
            </w:pPr>
            <w:r>
              <w:rPr>
                <w:rFonts w:ascii="Times New Roman" w:hAnsi="Times New Roman"/>
                <w:b/>
                <w:color w:val="1B4332"/>
                <w:sz w:val="20"/>
              </w:rPr>
              <w:t xml:space="preserve">Abstract — </w:t>
            </w:r>
            <w:r>
              <w:rPr>
                <w:rFonts w:ascii="Times New Roman" w:hAnsi="Times New Roman"/>
                <w:color w:val="282828"/>
                <w:sz w:val="19"/>
              </w:rPr>
              <w:t>This manuscript template outlines the mandatory formatting and layout requirements for submissions to the International Journal of Tafsir and Qur'anic Studies (IJTQS). Authors must provide a self-contained abstract of 150</w:t>
            </w:r>
            <w:r>
              <w:rPr>
                <w:rFonts w:ascii="Times New Roman" w:hAnsi="Times New Roman"/>
                <w:color w:val="282828"/>
                <w:sz w:val="19"/>
              </w:rPr>
              <w:t xml:space="preserve"> to 250 words summarizing the primary research objectives, methodology, key arguments, and scientific conclusions. For studies involving Tafsir and Qur'anic hermeneutics, precise textual references and transliterations should be adhered to. The abstract mu</w:t>
            </w:r>
            <w:r>
              <w:rPr>
                <w:rFonts w:ascii="Times New Roman" w:hAnsi="Times New Roman"/>
                <w:color w:val="282828"/>
                <w:sz w:val="19"/>
              </w:rPr>
              <w:t>st avoid non-standard abbreviations and uncited references.</w:t>
            </w:r>
          </w:p>
          <w:p w:rsidR="001C0C10" w:rsidRDefault="00DF59D6">
            <w:pPr>
              <w:spacing w:after="120"/>
              <w:ind w:left="144"/>
            </w:pPr>
            <w:r>
              <w:rPr>
                <w:rFonts w:ascii="Times New Roman" w:hAnsi="Times New Roman"/>
                <w:b/>
                <w:i/>
                <w:color w:val="1B4332"/>
                <w:sz w:val="19"/>
              </w:rPr>
              <w:t xml:space="preserve">Keywords: </w:t>
            </w:r>
            <w:r>
              <w:rPr>
                <w:rFonts w:ascii="Times New Roman" w:hAnsi="Times New Roman"/>
                <w:i/>
                <w:color w:val="282828"/>
                <w:sz w:val="19"/>
              </w:rPr>
              <w:t>Tafsir, Qur'anic Studies, Hermeneutics, Arabic Transliteration, Exegesis</w:t>
            </w:r>
          </w:p>
        </w:tc>
      </w:tr>
    </w:tbl>
    <w:p w:rsidR="001C0C10" w:rsidRDefault="00DF59D6" w:rsidP="0079191E">
      <w:pPr>
        <w:pStyle w:val="ListParagraph"/>
        <w:keepNext/>
        <w:numPr>
          <w:ilvl w:val="0"/>
          <w:numId w:val="10"/>
        </w:numPr>
        <w:spacing w:before="320" w:after="120"/>
      </w:pPr>
      <w:r w:rsidRPr="0079191E">
        <w:rPr>
          <w:rFonts w:ascii="Times New Roman" w:hAnsi="Times New Roman"/>
          <w:b/>
          <w:color w:val="1B4332"/>
          <w:sz w:val="24"/>
        </w:rPr>
        <w:t>I</w:t>
      </w:r>
      <w:r w:rsidR="0079191E" w:rsidRPr="0079191E">
        <w:rPr>
          <w:rFonts w:ascii="Times New Roman" w:hAnsi="Times New Roman"/>
          <w:b/>
          <w:color w:val="1B4332"/>
          <w:sz w:val="24"/>
        </w:rPr>
        <w:t>ntroduction (</w:t>
      </w:r>
      <w:r w:rsidR="0079191E" w:rsidRPr="0079191E">
        <w:rPr>
          <w:rFonts w:ascii="Times New Roman" w:eastAsia="Times New Roman" w:hAnsi="Times New Roman" w:cs="Times New Roman"/>
          <w:i/>
          <w:iCs/>
          <w:sz w:val="24"/>
          <w:szCs w:val="24"/>
        </w:rPr>
        <w:t>Times New Roman</w:t>
      </w:r>
      <w:r w:rsidR="0079191E" w:rsidRPr="0079191E">
        <w:rPr>
          <w:rFonts w:ascii="Times New Roman" w:eastAsia="Times New Roman" w:hAnsi="Times New Roman" w:cs="Times New Roman"/>
          <w:sz w:val="24"/>
          <w:szCs w:val="24"/>
        </w:rPr>
        <w:t xml:space="preserve"> 12 </w:t>
      </w:r>
      <w:proofErr w:type="spellStart"/>
      <w:r w:rsidR="0079191E" w:rsidRPr="0079191E">
        <w:rPr>
          <w:rFonts w:ascii="Times New Roman" w:eastAsia="Times New Roman" w:hAnsi="Times New Roman" w:cs="Times New Roman"/>
          <w:sz w:val="24"/>
          <w:szCs w:val="24"/>
        </w:rPr>
        <w:t>pt</w:t>
      </w:r>
      <w:proofErr w:type="spellEnd"/>
      <w:r w:rsidR="0079191E" w:rsidRPr="0079191E">
        <w:rPr>
          <w:rFonts w:ascii="Times New Roman" w:eastAsia="Times New Roman" w:hAnsi="Times New Roman" w:cs="Times New Roman"/>
          <w:sz w:val="24"/>
          <w:szCs w:val="24"/>
        </w:rPr>
        <w:t>)</w:t>
      </w:r>
    </w:p>
    <w:p w:rsidR="001C0C10" w:rsidRDefault="00DF59D6">
      <w:pPr>
        <w:spacing w:after="120"/>
        <w:ind w:firstLine="360"/>
        <w:jc w:val="both"/>
      </w:pPr>
      <w:r>
        <w:rPr>
          <w:rFonts w:ascii="Times New Roman" w:hAnsi="Times New Roman"/>
          <w:color w:val="282828"/>
          <w:sz w:val="21"/>
        </w:rPr>
        <w:t>T</w:t>
      </w:r>
      <w:r>
        <w:rPr>
          <w:rFonts w:ascii="Times New Roman" w:hAnsi="Times New Roman"/>
          <w:color w:val="282828"/>
          <w:sz w:val="21"/>
        </w:rPr>
        <w:t xml:space="preserve">he International Journal of Tafsir and Qur'anic Studies (IJTQS) provides a peer-reviewed </w:t>
      </w:r>
      <w:r>
        <w:rPr>
          <w:rFonts w:ascii="Times New Roman" w:hAnsi="Times New Roman"/>
          <w:color w:val="282828"/>
          <w:sz w:val="21"/>
        </w:rPr>
        <w:t>scholarly platform published at https://journal.iritaq.info/index.php/ijtqs/en. It is dedicated to advancing rigorous research in Quranic exegesis (Tafsir), textual linguistics, and manuscript digitization. Authors submitting papers to IJTQS are expected t</w:t>
      </w:r>
      <w:r>
        <w:rPr>
          <w:rFonts w:ascii="Times New Roman" w:hAnsi="Times New Roman"/>
          <w:color w:val="282828"/>
          <w:sz w:val="21"/>
        </w:rPr>
        <w:t>o maintain high academic standards, consistent citations, and proper Arabic typography.</w:t>
      </w:r>
    </w:p>
    <w:p w:rsidR="001C0C10" w:rsidRDefault="0079191E">
      <w:pPr>
        <w:keepNext/>
        <w:spacing w:before="320" w:after="120"/>
      </w:pPr>
      <w:r>
        <w:rPr>
          <w:rFonts w:ascii="Times New Roman" w:hAnsi="Times New Roman"/>
          <w:b/>
          <w:color w:val="1B4332"/>
          <w:sz w:val="24"/>
        </w:rPr>
        <w:t xml:space="preserve">2. </w:t>
      </w:r>
      <w:r w:rsidR="00DF59D6">
        <w:rPr>
          <w:rFonts w:ascii="Times New Roman" w:hAnsi="Times New Roman"/>
          <w:b/>
          <w:color w:val="1B4332"/>
          <w:sz w:val="24"/>
        </w:rPr>
        <w:t xml:space="preserve">GUIDELINES FOR QURANIC CITATIONS </w:t>
      </w:r>
      <w:r w:rsidR="00DF59D6">
        <w:rPr>
          <w:rFonts w:ascii="Times New Roman" w:hAnsi="Times New Roman"/>
          <w:b/>
          <w:color w:val="1B4332"/>
          <w:sz w:val="24"/>
        </w:rPr>
        <w:t xml:space="preserve">&amp; </w:t>
      </w:r>
      <w:r w:rsidR="00DF59D6">
        <w:rPr>
          <w:rFonts w:ascii="Times New Roman" w:hAnsi="Times New Roman"/>
          <w:b/>
          <w:color w:val="1B4332"/>
          <w:sz w:val="24"/>
        </w:rPr>
        <w:t>TRANSLITERATION</w:t>
      </w:r>
    </w:p>
    <w:p w:rsidR="001C0C10" w:rsidRDefault="00DF59D6">
      <w:pPr>
        <w:keepNext/>
        <w:spacing w:before="240" w:after="80"/>
      </w:pPr>
      <w:r>
        <w:rPr>
          <w:rFonts w:ascii="Times New Roman" w:hAnsi="Times New Roman"/>
          <w:b/>
          <w:color w:val="B7831F"/>
        </w:rPr>
        <w:t>2.1 Quranic Text Standard</w:t>
      </w:r>
    </w:p>
    <w:p w:rsidR="001C0C10" w:rsidRDefault="00DF59D6">
      <w:pPr>
        <w:spacing w:after="120"/>
        <w:ind w:firstLine="360"/>
        <w:jc w:val="both"/>
      </w:pPr>
      <w:r>
        <w:rPr>
          <w:rFonts w:ascii="Times New Roman" w:hAnsi="Times New Roman"/>
          <w:color w:val="282828"/>
          <w:sz w:val="21"/>
        </w:rPr>
        <w:t>All primary Quranic Arabic text must be embedded using standard Naskh or Traditional Ara</w:t>
      </w:r>
      <w:r>
        <w:rPr>
          <w:rFonts w:ascii="Times New Roman" w:hAnsi="Times New Roman"/>
          <w:color w:val="282828"/>
          <w:sz w:val="21"/>
        </w:rPr>
        <w:t>bic typography. Block quotes containing Quranic verses should be formatted in a distinct centered or indented paragraph block, accompanied by the Surah name and Ayah number.</w:t>
      </w:r>
    </w:p>
    <w:tbl>
      <w:tblPr>
        <w:tblW w:w="0" w:type="auto"/>
        <w:jc w:val="center"/>
        <w:tblLook w:val="04A0" w:firstRow="1" w:lastRow="0" w:firstColumn="1" w:lastColumn="0" w:noHBand="0" w:noVBand="1"/>
      </w:tblPr>
      <w:tblGrid>
        <w:gridCol w:w="8352"/>
      </w:tblGrid>
      <w:tr w:rsidR="001C0C10">
        <w:trPr>
          <w:jc w:val="center"/>
        </w:trPr>
        <w:tc>
          <w:tcPr>
            <w:tcW w:w="8352" w:type="dxa"/>
            <w:tcBorders>
              <w:left w:val="single" w:sz="24" w:space="0" w:color="1B4332"/>
            </w:tcBorders>
            <w:shd w:val="clear" w:color="auto" w:fill="F9FBF9"/>
          </w:tcPr>
          <w:p w:rsidR="001C0C10" w:rsidRDefault="00DF59D6">
            <w:pPr>
              <w:spacing w:before="120" w:after="80"/>
              <w:jc w:val="center"/>
            </w:pPr>
            <w:r>
              <w:rPr>
                <w:rFonts w:ascii="Traditional Arabic" w:hAnsi="Traditional Arabic" w:cs="Traditional Arabic"/>
                <w:b/>
                <w:bCs/>
                <w:color w:val="1B4332"/>
                <w:sz w:val="28"/>
                <w:szCs w:val="28"/>
                <w:rtl/>
              </w:rPr>
              <w:t>شَهْرُ</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رَمَضَانَ</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الَّذِي</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أُنزِلَ</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فِيهِ</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الْقُرْآنُ</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هُدًى</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لِّلنَّاسِ</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وَبَيِّنَاتٍ</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مِ</w:t>
            </w:r>
            <w:r>
              <w:rPr>
                <w:rFonts w:ascii="Traditional Arabic" w:hAnsi="Traditional Arabic" w:cs="Traditional Arabic"/>
                <w:b/>
                <w:bCs/>
                <w:color w:val="1B4332"/>
                <w:sz w:val="28"/>
                <w:szCs w:val="28"/>
                <w:rtl/>
              </w:rPr>
              <w:t>ّنَ</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الْهُدَىٰ</w:t>
            </w:r>
            <w:r>
              <w:rPr>
                <w:rFonts w:ascii="Traditional Arabic" w:hAnsi="Traditional Arabic"/>
                <w:b/>
                <w:color w:val="1B4332"/>
                <w:sz w:val="28"/>
              </w:rPr>
              <w:t xml:space="preserve"> </w:t>
            </w:r>
            <w:r>
              <w:rPr>
                <w:rFonts w:ascii="Traditional Arabic" w:hAnsi="Traditional Arabic" w:cs="Traditional Arabic"/>
                <w:b/>
                <w:bCs/>
                <w:color w:val="1B4332"/>
                <w:sz w:val="28"/>
                <w:szCs w:val="28"/>
                <w:rtl/>
              </w:rPr>
              <w:t>وَالْفُرْقَانِ</w:t>
            </w:r>
          </w:p>
          <w:p w:rsidR="001C0C10" w:rsidRDefault="00DF59D6">
            <w:pPr>
              <w:spacing w:after="120"/>
              <w:jc w:val="center"/>
            </w:pPr>
            <w:r>
              <w:rPr>
                <w:rFonts w:ascii="Times New Roman" w:hAnsi="Times New Roman"/>
                <w:i/>
                <w:color w:val="282828"/>
                <w:sz w:val="19"/>
              </w:rPr>
              <w:lastRenderedPageBreak/>
              <w:t>"The month of Ramadhan [is that] in which was revealed the Qur'an, a guidance for the people and clear proofs of guidance and criterion." [Surah al-Baqarah: 185]</w:t>
            </w:r>
          </w:p>
        </w:tc>
      </w:tr>
    </w:tbl>
    <w:p w:rsidR="001C0C10" w:rsidRDefault="00DF59D6">
      <w:pPr>
        <w:keepNext/>
        <w:spacing w:before="240" w:after="80"/>
      </w:pPr>
      <w:r>
        <w:rPr>
          <w:rFonts w:ascii="Times New Roman" w:hAnsi="Times New Roman"/>
          <w:b/>
          <w:color w:val="B7831F"/>
        </w:rPr>
        <w:lastRenderedPageBreak/>
        <w:t>2.2 Transliteration Standard</w:t>
      </w:r>
    </w:p>
    <w:p w:rsidR="001C0C10" w:rsidRDefault="00DF59D6">
      <w:pPr>
        <w:spacing w:after="120"/>
        <w:ind w:firstLine="360"/>
        <w:jc w:val="both"/>
      </w:pPr>
      <w:r>
        <w:rPr>
          <w:rFonts w:ascii="Times New Roman" w:hAnsi="Times New Roman"/>
          <w:color w:val="282828"/>
          <w:sz w:val="21"/>
        </w:rPr>
        <w:t xml:space="preserve">Authors must utilize standard </w:t>
      </w:r>
      <w:r>
        <w:rPr>
          <w:rFonts w:ascii="Times New Roman" w:hAnsi="Times New Roman"/>
          <w:color w:val="282828"/>
          <w:sz w:val="21"/>
        </w:rPr>
        <w:t xml:space="preserve">academic transliteration scheme for Arabic technical terms (e.g., ā, ī, ū, </w:t>
      </w:r>
      <w:r>
        <w:rPr>
          <w:rFonts w:ascii="Times New Roman" w:hAnsi="Times New Roman"/>
          <w:color w:val="282828"/>
          <w:sz w:val="21"/>
        </w:rPr>
        <w:t>ḥ</w:t>
      </w:r>
      <w:r>
        <w:rPr>
          <w:rFonts w:ascii="Times New Roman" w:hAnsi="Times New Roman"/>
          <w:color w:val="282828"/>
          <w:sz w:val="21"/>
        </w:rPr>
        <w:t xml:space="preserve">, </w:t>
      </w:r>
      <w:r>
        <w:rPr>
          <w:rFonts w:ascii="Times New Roman" w:hAnsi="Times New Roman"/>
          <w:color w:val="282828"/>
          <w:sz w:val="21"/>
        </w:rPr>
        <w:t>ṣ</w:t>
      </w:r>
      <w:r>
        <w:rPr>
          <w:rFonts w:ascii="Times New Roman" w:hAnsi="Times New Roman"/>
          <w:color w:val="282828"/>
          <w:sz w:val="21"/>
        </w:rPr>
        <w:t xml:space="preserve">, </w:t>
      </w:r>
      <w:r>
        <w:rPr>
          <w:rFonts w:ascii="Times New Roman" w:hAnsi="Times New Roman"/>
          <w:color w:val="282828"/>
          <w:sz w:val="21"/>
        </w:rPr>
        <w:t>ḍ</w:t>
      </w:r>
      <w:r>
        <w:rPr>
          <w:rFonts w:ascii="Times New Roman" w:hAnsi="Times New Roman"/>
          <w:color w:val="282828"/>
          <w:sz w:val="21"/>
        </w:rPr>
        <w:t xml:space="preserve">, </w:t>
      </w:r>
      <w:r>
        <w:rPr>
          <w:rFonts w:ascii="Times New Roman" w:hAnsi="Times New Roman"/>
          <w:color w:val="282828"/>
          <w:sz w:val="21"/>
        </w:rPr>
        <w:t>ṭ</w:t>
      </w:r>
      <w:r>
        <w:rPr>
          <w:rFonts w:ascii="Times New Roman" w:hAnsi="Times New Roman"/>
          <w:color w:val="282828"/>
          <w:sz w:val="21"/>
        </w:rPr>
        <w:t xml:space="preserve">, </w:t>
      </w:r>
      <w:r>
        <w:rPr>
          <w:rFonts w:ascii="Times New Roman" w:hAnsi="Times New Roman"/>
          <w:color w:val="282828"/>
          <w:sz w:val="21"/>
        </w:rPr>
        <w:t>ẓ</w:t>
      </w:r>
      <w:r>
        <w:rPr>
          <w:rFonts w:ascii="Times New Roman" w:hAnsi="Times New Roman"/>
          <w:color w:val="282828"/>
          <w:sz w:val="21"/>
        </w:rPr>
        <w:t>, ʿ, ʾ). Refer to Table 1 below for standard transliteration conventions.</w:t>
      </w:r>
    </w:p>
    <w:tbl>
      <w:tblPr>
        <w:tblW w:w="0" w:type="auto"/>
        <w:jc w:val="center"/>
        <w:tblLook w:val="04A0" w:firstRow="1" w:lastRow="0" w:firstColumn="1" w:lastColumn="0" w:noHBand="0" w:noVBand="1"/>
      </w:tblPr>
      <w:tblGrid>
        <w:gridCol w:w="2257"/>
        <w:gridCol w:w="2257"/>
        <w:gridCol w:w="2257"/>
        <w:gridCol w:w="2257"/>
      </w:tblGrid>
      <w:tr w:rsidR="001C0C10">
        <w:trPr>
          <w:jc w:val="center"/>
        </w:trPr>
        <w:tc>
          <w:tcPr>
            <w:tcW w:w="2257" w:type="dxa"/>
            <w:shd w:val="clear" w:color="auto" w:fill="1B4332"/>
          </w:tcPr>
          <w:p w:rsidR="001C0C10" w:rsidRDefault="00DF59D6">
            <w:pPr>
              <w:jc w:val="center"/>
            </w:pPr>
            <w:r>
              <w:rPr>
                <w:rFonts w:ascii="Times New Roman" w:hAnsi="Times New Roman"/>
                <w:b/>
                <w:color w:val="FFFFFF"/>
                <w:sz w:val="19"/>
              </w:rPr>
              <w:t>Arabic Letter</w:t>
            </w:r>
          </w:p>
        </w:tc>
        <w:tc>
          <w:tcPr>
            <w:tcW w:w="2257" w:type="dxa"/>
            <w:shd w:val="clear" w:color="auto" w:fill="1B4332"/>
          </w:tcPr>
          <w:p w:rsidR="001C0C10" w:rsidRDefault="00DF59D6">
            <w:pPr>
              <w:jc w:val="center"/>
            </w:pPr>
            <w:r>
              <w:rPr>
                <w:rFonts w:ascii="Times New Roman" w:hAnsi="Times New Roman"/>
                <w:b/>
                <w:color w:val="FFFFFF"/>
                <w:sz w:val="19"/>
              </w:rPr>
              <w:t>Transliteration</w:t>
            </w:r>
          </w:p>
        </w:tc>
        <w:tc>
          <w:tcPr>
            <w:tcW w:w="2257" w:type="dxa"/>
            <w:shd w:val="clear" w:color="auto" w:fill="1B4332"/>
          </w:tcPr>
          <w:p w:rsidR="001C0C10" w:rsidRDefault="00DF59D6">
            <w:pPr>
              <w:jc w:val="center"/>
            </w:pPr>
            <w:r>
              <w:rPr>
                <w:rFonts w:ascii="Times New Roman" w:hAnsi="Times New Roman"/>
                <w:b/>
                <w:color w:val="FFFFFF"/>
                <w:sz w:val="19"/>
              </w:rPr>
              <w:t>Arabic Letter</w:t>
            </w:r>
          </w:p>
        </w:tc>
        <w:tc>
          <w:tcPr>
            <w:tcW w:w="2257" w:type="dxa"/>
            <w:shd w:val="clear" w:color="auto" w:fill="1B4332"/>
          </w:tcPr>
          <w:p w:rsidR="001C0C10" w:rsidRDefault="00DF59D6">
            <w:pPr>
              <w:jc w:val="center"/>
            </w:pPr>
            <w:r>
              <w:rPr>
                <w:rFonts w:ascii="Times New Roman" w:hAnsi="Times New Roman"/>
                <w:b/>
                <w:color w:val="FFFFFF"/>
                <w:sz w:val="19"/>
              </w:rPr>
              <w:t>Transliteration</w:t>
            </w:r>
          </w:p>
        </w:tc>
      </w:tr>
      <w:tr w:rsidR="001C0C10">
        <w:trPr>
          <w:jc w:val="center"/>
        </w:trPr>
        <w:tc>
          <w:tcPr>
            <w:tcW w:w="2257" w:type="dxa"/>
            <w:shd w:val="clear" w:color="auto" w:fill="FFFFFF"/>
          </w:tcPr>
          <w:p w:rsidR="001C0C10" w:rsidRDefault="00DF59D6">
            <w:pPr>
              <w:jc w:val="center"/>
            </w:pPr>
            <w:r>
              <w:rPr>
                <w:rFonts w:ascii="Times New Roman" w:hAnsi="Times New Roman" w:cs="Times New Roman"/>
                <w:color w:val="282828"/>
                <w:sz w:val="19"/>
                <w:szCs w:val="19"/>
                <w:rtl/>
              </w:rPr>
              <w:t>ء</w:t>
            </w:r>
            <w:r>
              <w:rPr>
                <w:rFonts w:ascii="Times New Roman" w:hAnsi="Times New Roman"/>
                <w:color w:val="282828"/>
                <w:sz w:val="19"/>
              </w:rPr>
              <w:t xml:space="preserve"> / </w:t>
            </w:r>
            <w:r>
              <w:rPr>
                <w:rFonts w:ascii="Times New Roman" w:hAnsi="Times New Roman" w:cs="Times New Roman"/>
                <w:color w:val="282828"/>
                <w:sz w:val="19"/>
                <w:szCs w:val="19"/>
                <w:rtl/>
              </w:rPr>
              <w:t>ا</w:t>
            </w:r>
          </w:p>
        </w:tc>
        <w:tc>
          <w:tcPr>
            <w:tcW w:w="2257" w:type="dxa"/>
            <w:shd w:val="clear" w:color="auto" w:fill="FFFFFF"/>
          </w:tcPr>
          <w:p w:rsidR="001C0C10" w:rsidRDefault="00DF59D6">
            <w:pPr>
              <w:jc w:val="center"/>
            </w:pPr>
            <w:r>
              <w:rPr>
                <w:rFonts w:ascii="Times New Roman" w:hAnsi="Times New Roman"/>
                <w:color w:val="282828"/>
                <w:sz w:val="19"/>
              </w:rPr>
              <w:t>ʾ</w:t>
            </w:r>
            <w:r>
              <w:rPr>
                <w:rFonts w:ascii="Times New Roman" w:hAnsi="Times New Roman"/>
                <w:color w:val="282828"/>
                <w:sz w:val="19"/>
              </w:rPr>
              <w:t xml:space="preserve"> / ā</w:t>
            </w:r>
          </w:p>
        </w:tc>
        <w:tc>
          <w:tcPr>
            <w:tcW w:w="2257" w:type="dxa"/>
            <w:shd w:val="clear" w:color="auto" w:fill="FFFFFF"/>
          </w:tcPr>
          <w:p w:rsidR="001C0C10" w:rsidRDefault="00DF59D6">
            <w:pPr>
              <w:jc w:val="center"/>
            </w:pPr>
            <w:r>
              <w:rPr>
                <w:rFonts w:ascii="Times New Roman" w:hAnsi="Times New Roman" w:cs="Times New Roman"/>
                <w:color w:val="282828"/>
                <w:sz w:val="19"/>
                <w:szCs w:val="19"/>
                <w:rtl/>
              </w:rPr>
              <w:t>ح</w:t>
            </w:r>
          </w:p>
        </w:tc>
        <w:tc>
          <w:tcPr>
            <w:tcW w:w="2257" w:type="dxa"/>
            <w:shd w:val="clear" w:color="auto" w:fill="FFFFFF"/>
          </w:tcPr>
          <w:p w:rsidR="001C0C10" w:rsidRDefault="00DF59D6">
            <w:pPr>
              <w:jc w:val="center"/>
            </w:pPr>
            <w:r>
              <w:rPr>
                <w:rFonts w:ascii="Times New Roman" w:hAnsi="Times New Roman"/>
                <w:color w:val="282828"/>
                <w:sz w:val="19"/>
              </w:rPr>
              <w:t>ḥ</w:t>
            </w:r>
          </w:p>
        </w:tc>
      </w:tr>
      <w:tr w:rsidR="001C0C10">
        <w:trPr>
          <w:jc w:val="center"/>
        </w:trPr>
        <w:tc>
          <w:tcPr>
            <w:tcW w:w="2257" w:type="dxa"/>
            <w:shd w:val="clear" w:color="auto" w:fill="F4F6F5"/>
          </w:tcPr>
          <w:p w:rsidR="001C0C10" w:rsidRDefault="00DF59D6">
            <w:pPr>
              <w:jc w:val="center"/>
            </w:pPr>
            <w:r>
              <w:rPr>
                <w:rFonts w:ascii="Times New Roman" w:hAnsi="Times New Roman" w:cs="Times New Roman"/>
                <w:color w:val="282828"/>
                <w:sz w:val="19"/>
                <w:szCs w:val="19"/>
                <w:rtl/>
              </w:rPr>
              <w:t>ص</w:t>
            </w:r>
          </w:p>
        </w:tc>
        <w:tc>
          <w:tcPr>
            <w:tcW w:w="2257" w:type="dxa"/>
            <w:shd w:val="clear" w:color="auto" w:fill="F4F6F5"/>
          </w:tcPr>
          <w:p w:rsidR="001C0C10" w:rsidRDefault="00DF59D6">
            <w:pPr>
              <w:jc w:val="center"/>
            </w:pPr>
            <w:r>
              <w:rPr>
                <w:rFonts w:ascii="Times New Roman" w:hAnsi="Times New Roman"/>
                <w:color w:val="282828"/>
                <w:sz w:val="19"/>
              </w:rPr>
              <w:t>ṣ</w:t>
            </w:r>
          </w:p>
        </w:tc>
        <w:tc>
          <w:tcPr>
            <w:tcW w:w="2257" w:type="dxa"/>
            <w:shd w:val="clear" w:color="auto" w:fill="F4F6F5"/>
          </w:tcPr>
          <w:p w:rsidR="001C0C10" w:rsidRDefault="00DF59D6">
            <w:pPr>
              <w:jc w:val="center"/>
            </w:pPr>
            <w:r>
              <w:rPr>
                <w:rFonts w:ascii="Times New Roman" w:hAnsi="Times New Roman" w:cs="Times New Roman"/>
                <w:color w:val="282828"/>
                <w:sz w:val="19"/>
                <w:szCs w:val="19"/>
                <w:rtl/>
              </w:rPr>
              <w:t>ض</w:t>
            </w:r>
          </w:p>
        </w:tc>
        <w:tc>
          <w:tcPr>
            <w:tcW w:w="2257" w:type="dxa"/>
            <w:shd w:val="clear" w:color="auto" w:fill="F4F6F5"/>
          </w:tcPr>
          <w:p w:rsidR="001C0C10" w:rsidRDefault="00DF59D6">
            <w:pPr>
              <w:jc w:val="center"/>
            </w:pPr>
            <w:r>
              <w:rPr>
                <w:rFonts w:ascii="Times New Roman" w:hAnsi="Times New Roman"/>
                <w:color w:val="282828"/>
                <w:sz w:val="19"/>
              </w:rPr>
              <w:t>ḍ</w:t>
            </w:r>
          </w:p>
        </w:tc>
      </w:tr>
      <w:tr w:rsidR="001C0C10">
        <w:trPr>
          <w:jc w:val="center"/>
        </w:trPr>
        <w:tc>
          <w:tcPr>
            <w:tcW w:w="2257" w:type="dxa"/>
            <w:shd w:val="clear" w:color="auto" w:fill="FFFFFF"/>
          </w:tcPr>
          <w:p w:rsidR="001C0C10" w:rsidRDefault="00DF59D6">
            <w:pPr>
              <w:jc w:val="center"/>
            </w:pPr>
            <w:r>
              <w:rPr>
                <w:rFonts w:ascii="Times New Roman" w:hAnsi="Times New Roman" w:cs="Times New Roman"/>
                <w:color w:val="282828"/>
                <w:sz w:val="19"/>
                <w:szCs w:val="19"/>
                <w:rtl/>
              </w:rPr>
              <w:t>ط</w:t>
            </w:r>
          </w:p>
        </w:tc>
        <w:tc>
          <w:tcPr>
            <w:tcW w:w="2257" w:type="dxa"/>
            <w:shd w:val="clear" w:color="auto" w:fill="FFFFFF"/>
          </w:tcPr>
          <w:p w:rsidR="001C0C10" w:rsidRDefault="00DF59D6">
            <w:pPr>
              <w:jc w:val="center"/>
            </w:pPr>
            <w:r>
              <w:rPr>
                <w:rFonts w:ascii="Times New Roman" w:hAnsi="Times New Roman"/>
                <w:color w:val="282828"/>
                <w:sz w:val="19"/>
              </w:rPr>
              <w:t>ṭ</w:t>
            </w:r>
          </w:p>
        </w:tc>
        <w:tc>
          <w:tcPr>
            <w:tcW w:w="2257" w:type="dxa"/>
            <w:shd w:val="clear" w:color="auto" w:fill="FFFFFF"/>
          </w:tcPr>
          <w:p w:rsidR="001C0C10" w:rsidRDefault="00DF59D6">
            <w:pPr>
              <w:jc w:val="center"/>
            </w:pPr>
            <w:r>
              <w:rPr>
                <w:rFonts w:ascii="Times New Roman" w:hAnsi="Times New Roman" w:cs="Times New Roman"/>
                <w:color w:val="282828"/>
                <w:sz w:val="19"/>
                <w:szCs w:val="19"/>
                <w:rtl/>
              </w:rPr>
              <w:t>ع</w:t>
            </w:r>
          </w:p>
        </w:tc>
        <w:tc>
          <w:tcPr>
            <w:tcW w:w="2257" w:type="dxa"/>
            <w:shd w:val="clear" w:color="auto" w:fill="FFFFFF"/>
          </w:tcPr>
          <w:p w:rsidR="001C0C10" w:rsidRDefault="00DF59D6">
            <w:pPr>
              <w:jc w:val="center"/>
            </w:pPr>
            <w:r>
              <w:rPr>
                <w:rFonts w:ascii="Times New Roman" w:hAnsi="Times New Roman"/>
                <w:color w:val="282828"/>
                <w:sz w:val="19"/>
              </w:rPr>
              <w:t>ʿ</w:t>
            </w:r>
          </w:p>
        </w:tc>
      </w:tr>
    </w:tbl>
    <w:p w:rsidR="001C0C10" w:rsidRDefault="00DF59D6">
      <w:pPr>
        <w:spacing w:before="80" w:after="240"/>
        <w:jc w:val="center"/>
      </w:pPr>
      <w:r>
        <w:rPr>
          <w:rFonts w:ascii="Times New Roman" w:hAnsi="Times New Roman"/>
          <w:i/>
          <w:color w:val="646464"/>
          <w:sz w:val="18"/>
        </w:rPr>
        <w:t>Table 1: Standard Arabic-to-English Transliteration Rules in IJTQS</w:t>
      </w:r>
    </w:p>
    <w:p w:rsidR="001C0C10" w:rsidRDefault="0079191E" w:rsidP="0079191E">
      <w:pPr>
        <w:pStyle w:val="ListParagraph"/>
        <w:keepNext/>
        <w:numPr>
          <w:ilvl w:val="0"/>
          <w:numId w:val="10"/>
        </w:numPr>
        <w:spacing w:before="320" w:after="120"/>
      </w:pPr>
      <w:r w:rsidRPr="0079191E">
        <w:rPr>
          <w:rFonts w:ascii="Times New Roman" w:hAnsi="Times New Roman"/>
          <w:b/>
          <w:color w:val="1B4332"/>
          <w:sz w:val="24"/>
        </w:rPr>
        <w:t>Methodology (</w:t>
      </w:r>
      <w:r w:rsidRPr="0079191E">
        <w:rPr>
          <w:rFonts w:ascii="Times New Roman" w:eastAsia="Times New Roman" w:hAnsi="Times New Roman" w:cs="Times New Roman"/>
          <w:i/>
          <w:iCs/>
          <w:sz w:val="24"/>
          <w:szCs w:val="24"/>
        </w:rPr>
        <w:t>Times New Roman</w:t>
      </w:r>
      <w:r w:rsidRPr="0079191E">
        <w:rPr>
          <w:rFonts w:ascii="Times New Roman" w:eastAsia="Times New Roman" w:hAnsi="Times New Roman" w:cs="Times New Roman"/>
          <w:sz w:val="24"/>
          <w:szCs w:val="24"/>
        </w:rPr>
        <w:t xml:space="preserve"> 12 </w:t>
      </w:r>
      <w:proofErr w:type="spellStart"/>
      <w:r w:rsidRPr="0079191E">
        <w:rPr>
          <w:rFonts w:ascii="Times New Roman" w:eastAsia="Times New Roman" w:hAnsi="Times New Roman" w:cs="Times New Roman"/>
          <w:sz w:val="24"/>
          <w:szCs w:val="24"/>
        </w:rPr>
        <w:t>pt</w:t>
      </w:r>
      <w:proofErr w:type="spellEnd"/>
      <w:r w:rsidRPr="0079191E">
        <w:rPr>
          <w:rFonts w:ascii="Times New Roman" w:eastAsia="Times New Roman" w:hAnsi="Times New Roman" w:cs="Times New Roman"/>
          <w:sz w:val="24"/>
          <w:szCs w:val="24"/>
        </w:rPr>
        <w:t>)</w:t>
      </w:r>
    </w:p>
    <w:p w:rsidR="0079191E" w:rsidRDefault="00DF59D6" w:rsidP="0079191E">
      <w:pPr>
        <w:spacing w:after="120"/>
        <w:ind w:firstLine="360"/>
        <w:jc w:val="both"/>
        <w:rPr>
          <w:rFonts w:ascii="Times New Roman" w:hAnsi="Times New Roman"/>
          <w:color w:val="282828"/>
          <w:sz w:val="21"/>
        </w:rPr>
      </w:pPr>
      <w:r>
        <w:rPr>
          <w:rFonts w:ascii="Times New Roman" w:hAnsi="Times New Roman"/>
          <w:color w:val="282828"/>
          <w:sz w:val="21"/>
        </w:rPr>
        <w:t>F</w:t>
      </w:r>
      <w:r>
        <w:rPr>
          <w:rFonts w:ascii="Times New Roman" w:hAnsi="Times New Roman"/>
          <w:color w:val="282828"/>
          <w:sz w:val="21"/>
        </w:rPr>
        <w:t xml:space="preserve">or manuscripts addressing primary source transcription or manuscript digitization projects, methodology must clearly specify the provenance, catalog number, line density, </w:t>
      </w:r>
      <w:r>
        <w:rPr>
          <w:rFonts w:ascii="Times New Roman" w:hAnsi="Times New Roman"/>
          <w:color w:val="282828"/>
          <w:sz w:val="21"/>
        </w:rPr>
        <w:t>and script style of the original manuscript.</w:t>
      </w:r>
    </w:p>
    <w:p w:rsidR="0079191E" w:rsidRDefault="0079191E" w:rsidP="0079191E">
      <w:pPr>
        <w:spacing w:after="120"/>
        <w:jc w:val="both"/>
        <w:rPr>
          <w:rFonts w:ascii="Times New Roman" w:hAnsi="Times New Roman"/>
          <w:color w:val="282828"/>
          <w:sz w:val="21"/>
        </w:rPr>
      </w:pPr>
    </w:p>
    <w:p w:rsidR="0079191E" w:rsidRPr="0079191E" w:rsidRDefault="0079191E" w:rsidP="0079191E">
      <w:pPr>
        <w:pStyle w:val="ListParagraph"/>
        <w:numPr>
          <w:ilvl w:val="0"/>
          <w:numId w:val="10"/>
        </w:numPr>
        <w:spacing w:after="120"/>
        <w:jc w:val="both"/>
        <w:rPr>
          <w:rFonts w:ascii="Times New Roman" w:hAnsi="Times New Roman"/>
          <w:color w:val="282828"/>
          <w:sz w:val="21"/>
        </w:rPr>
      </w:pPr>
      <w:r w:rsidRPr="0079191E">
        <w:rPr>
          <w:rFonts w:ascii="Times New Roman" w:eastAsia="Times New Roman" w:hAnsi="Times New Roman" w:cs="Times New Roman"/>
          <w:b/>
          <w:bCs/>
          <w:sz w:val="24"/>
          <w:szCs w:val="24"/>
        </w:rPr>
        <w:t>Results and Discussion</w:t>
      </w:r>
      <w:r w:rsidRPr="0079191E">
        <w:rPr>
          <w:rFonts w:ascii="Arial" w:eastAsia="Arial" w:hAnsi="Arial" w:cs="Arial"/>
          <w:b/>
          <w:bCs/>
          <w:sz w:val="30"/>
          <w:szCs w:val="30"/>
          <w:highlight w:val="white"/>
        </w:rPr>
        <w:t xml:space="preserve"> </w:t>
      </w:r>
      <w:r w:rsidRPr="0079191E">
        <w:rPr>
          <w:rFonts w:ascii="Times New Roman" w:eastAsia="Times New Roman" w:hAnsi="Times New Roman" w:cs="Times New Roman"/>
          <w:sz w:val="24"/>
          <w:szCs w:val="24"/>
        </w:rPr>
        <w:t>(</w:t>
      </w:r>
      <w:r w:rsidRPr="0079191E">
        <w:rPr>
          <w:rFonts w:ascii="Times New Roman" w:eastAsia="Times New Roman" w:hAnsi="Times New Roman" w:cs="Times New Roman"/>
          <w:i/>
          <w:iCs/>
          <w:sz w:val="24"/>
          <w:szCs w:val="24"/>
        </w:rPr>
        <w:t>Times New Roman</w:t>
      </w:r>
      <w:r>
        <w:rPr>
          <w:rFonts w:ascii="Times New Roman" w:eastAsia="Times New Roman" w:hAnsi="Times New Roman" w:cs="Times New Roman"/>
          <w:sz w:val="24"/>
          <w:szCs w:val="24"/>
        </w:rPr>
        <w:t xml:space="preserve"> 12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w:t>
      </w:r>
    </w:p>
    <w:p w:rsidR="0079191E" w:rsidRPr="0079191E" w:rsidRDefault="0079191E" w:rsidP="0079191E">
      <w:pPr>
        <w:pStyle w:val="ListParagraph"/>
        <w:spacing w:after="120"/>
        <w:ind w:left="360"/>
        <w:jc w:val="both"/>
        <w:rPr>
          <w:rFonts w:ascii="Times New Roman" w:hAnsi="Times New Roman"/>
          <w:color w:val="282828"/>
          <w:sz w:val="21"/>
        </w:rPr>
      </w:pPr>
    </w:p>
    <w:p w:rsidR="001C0C10" w:rsidRDefault="00DF59D6" w:rsidP="0079191E">
      <w:pPr>
        <w:pStyle w:val="ListParagraph"/>
        <w:keepNext/>
        <w:numPr>
          <w:ilvl w:val="0"/>
          <w:numId w:val="10"/>
        </w:numPr>
        <w:spacing w:before="320" w:after="120"/>
      </w:pPr>
      <w:r w:rsidRPr="0079191E">
        <w:rPr>
          <w:rFonts w:ascii="Times New Roman" w:hAnsi="Times New Roman"/>
          <w:b/>
          <w:color w:val="1B4332"/>
          <w:sz w:val="24"/>
        </w:rPr>
        <w:t>C</w:t>
      </w:r>
      <w:r w:rsidR="0079191E" w:rsidRPr="0079191E">
        <w:rPr>
          <w:rFonts w:ascii="Times New Roman" w:hAnsi="Times New Roman"/>
          <w:b/>
          <w:color w:val="1B4332"/>
          <w:sz w:val="24"/>
        </w:rPr>
        <w:t>onclusion (</w:t>
      </w:r>
      <w:r w:rsidR="0079191E" w:rsidRPr="0079191E">
        <w:rPr>
          <w:rFonts w:ascii="Times New Roman" w:eastAsia="Times New Roman" w:hAnsi="Times New Roman" w:cs="Times New Roman"/>
          <w:i/>
          <w:iCs/>
          <w:sz w:val="24"/>
          <w:szCs w:val="24"/>
        </w:rPr>
        <w:t>Times New Roman</w:t>
      </w:r>
      <w:r w:rsidR="0079191E" w:rsidRPr="0079191E">
        <w:rPr>
          <w:rFonts w:ascii="Times New Roman" w:eastAsia="Times New Roman" w:hAnsi="Times New Roman" w:cs="Times New Roman"/>
          <w:sz w:val="24"/>
          <w:szCs w:val="24"/>
        </w:rPr>
        <w:t xml:space="preserve"> 12 </w:t>
      </w:r>
      <w:proofErr w:type="spellStart"/>
      <w:r w:rsidR="0079191E" w:rsidRPr="0079191E">
        <w:rPr>
          <w:rFonts w:ascii="Times New Roman" w:eastAsia="Times New Roman" w:hAnsi="Times New Roman" w:cs="Times New Roman"/>
          <w:sz w:val="24"/>
          <w:szCs w:val="24"/>
        </w:rPr>
        <w:t>pt</w:t>
      </w:r>
      <w:proofErr w:type="spellEnd"/>
      <w:r w:rsidR="0079191E" w:rsidRPr="0079191E">
        <w:rPr>
          <w:rFonts w:ascii="Times New Roman" w:eastAsia="Times New Roman" w:hAnsi="Times New Roman" w:cs="Times New Roman"/>
          <w:sz w:val="24"/>
          <w:szCs w:val="24"/>
        </w:rPr>
        <w:t>)</w:t>
      </w:r>
    </w:p>
    <w:p w:rsidR="001C0C10" w:rsidRDefault="00DF59D6">
      <w:pPr>
        <w:spacing w:after="240"/>
        <w:ind w:firstLine="360"/>
        <w:jc w:val="both"/>
      </w:pPr>
      <w:r>
        <w:rPr>
          <w:rFonts w:ascii="Times New Roman" w:hAnsi="Times New Roman"/>
          <w:color w:val="282828"/>
          <w:sz w:val="21"/>
        </w:rPr>
        <w:t>T</w:t>
      </w:r>
      <w:r>
        <w:rPr>
          <w:rFonts w:ascii="Times New Roman" w:hAnsi="Times New Roman"/>
          <w:color w:val="282828"/>
          <w:sz w:val="21"/>
        </w:rPr>
        <w:t>he concluding section should summarize the main outcomes of the study, highlighting its original contribution to the field of Quranic studies and Tafsir scholarship.</w:t>
      </w:r>
    </w:p>
    <w:p w:rsidR="001C0C10" w:rsidRDefault="00DF59D6">
      <w:pPr>
        <w:keepNext/>
        <w:spacing w:before="320" w:after="120"/>
      </w:pPr>
      <w:r>
        <w:rPr>
          <w:rFonts w:ascii="Times New Roman" w:hAnsi="Times New Roman"/>
          <w:b/>
          <w:color w:val="1B4332"/>
          <w:sz w:val="24"/>
        </w:rPr>
        <w:t>REFERENCES</w:t>
      </w:r>
    </w:p>
    <w:p w:rsidR="001C0C10" w:rsidRDefault="00DF59D6">
      <w:pPr>
        <w:spacing w:after="80"/>
        <w:ind w:left="432" w:hanging="432"/>
      </w:pPr>
      <w:r>
        <w:rPr>
          <w:rFonts w:ascii="Times New Roman" w:hAnsi="Times New Roman"/>
          <w:color w:val="282828"/>
          <w:sz w:val="19"/>
        </w:rPr>
        <w:t>Al-Tabari, Muhammad</w:t>
      </w:r>
      <w:r>
        <w:rPr>
          <w:rFonts w:ascii="Times New Roman" w:hAnsi="Times New Roman"/>
          <w:color w:val="282828"/>
          <w:sz w:val="19"/>
        </w:rPr>
        <w:t xml:space="preserve"> ibn Jarir. (2001). Jami' al-Bayan 'an Ta'wil Ay al-Qur'an. Cairo: Dar al-Hajr.</w:t>
      </w:r>
    </w:p>
    <w:p w:rsidR="001C0C10" w:rsidRDefault="00DF59D6">
      <w:pPr>
        <w:spacing w:after="80"/>
        <w:ind w:left="432" w:hanging="432"/>
      </w:pPr>
      <w:r>
        <w:rPr>
          <w:rFonts w:ascii="Times New Roman" w:hAnsi="Times New Roman"/>
          <w:color w:val="282828"/>
          <w:sz w:val="19"/>
        </w:rPr>
        <w:t>Ibn Kathir, Ismail ibn Umar. (1999). Tafsir al-Qur'an al-'Azim. Riyadh: Dar Taybah.</w:t>
      </w:r>
    </w:p>
    <w:p w:rsidR="001C0C10" w:rsidRDefault="00DF59D6">
      <w:pPr>
        <w:spacing w:after="80"/>
        <w:ind w:left="432" w:hanging="432"/>
      </w:pPr>
      <w:r>
        <w:rPr>
          <w:rFonts w:ascii="Times New Roman" w:hAnsi="Times New Roman"/>
          <w:color w:val="282828"/>
          <w:sz w:val="19"/>
        </w:rPr>
        <w:t>IJTQS Editorial Board. (2025). Author Guidelines for Manuscript Submissions. International J</w:t>
      </w:r>
      <w:r>
        <w:rPr>
          <w:rFonts w:ascii="Times New Roman" w:hAnsi="Times New Roman"/>
          <w:color w:val="282828"/>
          <w:sz w:val="19"/>
        </w:rPr>
        <w:t>ournal of Tafsir and Qur'anic Studies.</w:t>
      </w:r>
    </w:p>
    <w:sectPr w:rsidR="001C0C10" w:rsidSect="00034616">
      <w:headerReference w:type="default" r:id="rId8"/>
      <w:footerReference w:type="default" r:id="rId9"/>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9D6" w:rsidRDefault="00DF59D6">
      <w:pPr>
        <w:spacing w:after="0" w:line="240" w:lineRule="auto"/>
      </w:pPr>
      <w:r>
        <w:separator/>
      </w:r>
    </w:p>
  </w:endnote>
  <w:endnote w:type="continuationSeparator" w:id="0">
    <w:p w:rsidR="00DF59D6" w:rsidRDefault="00DF5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C10" w:rsidRDefault="00DF59D6">
    <w:pPr>
      <w:pStyle w:val="Footer"/>
      <w:jc w:val="center"/>
    </w:pPr>
    <w:r>
      <w:rPr>
        <w:rFonts w:ascii="Times New Roman" w:hAnsi="Times New Roman"/>
        <w:color w:val="787878"/>
        <w:sz w:val="17"/>
      </w:rPr>
      <w:t>International Journal of Tafsir and Qur'anic Studies | https://journal.iritaq.info/ind</w:t>
    </w:r>
    <w:r>
      <w:rPr>
        <w:rFonts w:ascii="Times New Roman" w:hAnsi="Times New Roman"/>
        <w:color w:val="787878"/>
        <w:sz w:val="17"/>
      </w:rPr>
      <w:t>ex.php/ijtqs/en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9D6" w:rsidRDefault="00DF59D6">
      <w:pPr>
        <w:spacing w:after="0" w:line="240" w:lineRule="auto"/>
      </w:pPr>
      <w:r>
        <w:separator/>
      </w:r>
    </w:p>
  </w:footnote>
  <w:footnote w:type="continuationSeparator" w:id="0">
    <w:p w:rsidR="00DF59D6" w:rsidRDefault="00DF5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C10" w:rsidRDefault="00DF59D6">
    <w:pPr>
      <w:pStyle w:val="Header"/>
      <w:jc w:val="right"/>
    </w:pPr>
    <w:r>
      <w:rPr>
        <w:rFonts w:ascii="Times New Roman" w:hAnsi="Times New Roman"/>
        <w:color w:val="787878"/>
        <w:sz w:val="17"/>
      </w:rPr>
      <w:t>International Journal of Tafsir and Qur'anic Studies (IJTQS)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D37A86"/>
    <w:multiLevelType w:val="hybridMultilevel"/>
    <w:tmpl w:val="8F6C9EF8"/>
    <w:lvl w:ilvl="0" w:tplc="0ED4323A">
      <w:start w:val="1"/>
      <w:numFmt w:val="decimal"/>
      <w:lvlText w:val="%1."/>
      <w:lvlJc w:val="left"/>
      <w:pPr>
        <w:ind w:left="360" w:hanging="360"/>
      </w:pPr>
      <w:rPr>
        <w:rFonts w:ascii="Times New Roman" w:hAnsi="Times New Roman" w:hint="default"/>
        <w:b/>
        <w:color w:val="1B4332"/>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F0644"/>
    <w:rsid w:val="0015074B"/>
    <w:rsid w:val="001C0C10"/>
    <w:rsid w:val="0029639D"/>
    <w:rsid w:val="00326F90"/>
    <w:rsid w:val="0079191E"/>
    <w:rsid w:val="00AA1D8D"/>
    <w:rsid w:val="00B47730"/>
    <w:rsid w:val="00CB0664"/>
    <w:rsid w:val="00CF50FB"/>
    <w:rsid w:val="00DF59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3A7793"/>
  <w14:defaultImageDpi w14:val="300"/>
  <w15:docId w15:val="{52D7CD8F-9B7D-4AE1-9935-889B3436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A1A72-8FC8-4EF5-A9BC-F4F71D489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LUCKMAN C</cp:lastModifiedBy>
  <cp:revision>7</cp:revision>
  <dcterms:created xsi:type="dcterms:W3CDTF">2013-12-23T23:15:00Z</dcterms:created>
  <dcterms:modified xsi:type="dcterms:W3CDTF">2026-09-08T15:08:00Z</dcterms:modified>
  <cp:category/>
</cp:coreProperties>
</file>